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lang w:eastAsia="zh-CN"/>
        </w:rPr>
      </w:pPr>
      <w:r>
        <w:rPr>
          <w:rFonts w:hint="eastAsia" w:ascii="方正小标宋_GBK" w:hAnsi="黑体" w:eastAsia="方正小标宋_GBK" w:cs="仿宋_GB2312"/>
          <w:bCs/>
          <w:color w:val="auto"/>
          <w:kern w:val="0"/>
          <w:sz w:val="44"/>
          <w:szCs w:val="44"/>
          <w:highlight w:val="none"/>
          <w:lang w:eastAsia="zh-CN"/>
        </w:rPr>
        <w:t>2024年卫生监督执法能力提升项目经费</w:t>
      </w: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rPr>
        <w:t>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（2024年度）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项目名称：2024年卫生监督执法能力提升项目经费</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项目单位：阿图什市疾病预防控制中心（阿图什市卫生监督所）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主管部门：阿图什市疾病预防控制中心（阿图什市卫生监督所）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202</w:t>
      </w:r>
      <w:r>
        <w:rPr>
          <w:rFonts w:ascii="黑体" w:hAnsi="黑体" w:eastAsia="黑体" w:cs="仿宋_GB2312"/>
          <w:color w:val="auto"/>
          <w:sz w:val="32"/>
          <w:szCs w:val="32"/>
          <w:highlight w:val="none"/>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30</w:t>
      </w:r>
      <w:r>
        <w:rPr>
          <w:rFonts w:hint="eastAsia" w:ascii="黑体" w:hAnsi="黑体" w:eastAsia="黑体" w:cs="仿宋_GB2312"/>
          <w:color w:val="auto"/>
          <w:sz w:val="32"/>
          <w:szCs w:val="32"/>
          <w:highlight w:val="none"/>
        </w:rPr>
        <w:t>日</w:t>
      </w: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napToGrid w:val="0"/>
        <w:spacing w:line="560" w:lineRule="exact"/>
        <w:jc w:val="center"/>
        <w:rPr>
          <w:rFonts w:hint="eastAsia" w:ascii="方正小标宋_GBK" w:hAnsi="仿宋_GB2312" w:eastAsia="方正小标宋_GBK" w:cs="仿宋_GB2312"/>
          <w:bCs/>
          <w:color w:val="auto"/>
          <w:sz w:val="44"/>
          <w:szCs w:val="44"/>
          <w:highlight w:val="none"/>
          <w:lang w:eastAsia="zh-CN"/>
        </w:rPr>
      </w:pPr>
      <w:r>
        <w:rPr>
          <w:rFonts w:hint="eastAsia" w:ascii="方正小标宋_GBK" w:hAnsi="仿宋_GB2312" w:eastAsia="方正小标宋_GBK" w:cs="仿宋_GB2312"/>
          <w:bCs/>
          <w:color w:val="auto"/>
          <w:sz w:val="44"/>
          <w:szCs w:val="44"/>
          <w:highlight w:val="none"/>
          <w:lang w:eastAsia="zh-CN"/>
        </w:rPr>
        <w:t>2024年卫生监督执法能力提升项目经费</w:t>
      </w: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rPr>
        <w:t>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随着我国经济社会的发展，各类健康影响因素不断增加，危害群众健康的重大违法案件时有发生，社会高度关注。卫生监督执法点多面广线长，卫生监督机构性质不明确、执法权力分散、保障不到位、人员短缺和中医监督体系不完善等问题日益突出。卫生综合行政执法监督工作是卫生工作的重要组成部分，是实现国家卫生管理的重要手段，是执行国家卫生法律法规、维护卫生秩序、促进经济社会协调发展、建设健康中国的重要保证，具有较强的专业性、技术性。长期以来，在党和政府的高度重视下，我国卫生事业取得历史性成就，卫生监督执法工作成效显著，行业监管能力不断增强，依法执业、依法行政力度不断加大，为促进卫生事业健康发展、维护人民群众健康权益作出了重要贡献。</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项目实施内容：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根据《阿图什市卫生健康综合监督执法局2024年财务预算工作会议纪要》，安排项目资金3万元，用于卫生健康综合监督执法局采购执法记录仪费用支出，达到各项业务按照计划执行，有效保障单位日常工作正常开展。</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主体：本项目的主管部门为阿图什市疾病预防控制中心（阿图什市卫生监督所）,实施单位为阿图什市疾病预防控制中心（阿图什市卫生监督所），主要职责：项目实施过程中严格按照实施方案进行实施并及时进行监督管理，项目实施后进行及时验收及后期管理。</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实施时间：202</w:t>
      </w:r>
      <w:r>
        <w:rPr>
          <w:rFonts w:ascii="仿宋_GB2312" w:hAnsi="仿宋_GB2312" w:cs="仿宋_GB2312"/>
          <w:bCs/>
          <w:color w:val="auto"/>
          <w:sz w:val="32"/>
          <w:szCs w:val="30"/>
          <w:highlight w:val="none"/>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1</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实施结果：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color w:val="auto"/>
          <w:sz w:val="32"/>
          <w:szCs w:val="32"/>
          <w:highlight w:val="none"/>
        </w:rPr>
        <w:t>项目实施前进行充分调研，并制定项目实施方案，项目实施过程中严格按照实施方案进行实施并及时进行监督管理，项目实施后进行及时验收及后期维护</w:t>
      </w:r>
      <w:r>
        <w:rPr>
          <w:rFonts w:hint="eastAsia" w:ascii="仿宋_GB2312" w:hAnsi="仿宋_GB2312" w:cs="仿宋_GB2312"/>
          <w:bCs/>
          <w:color w:val="auto"/>
          <w:sz w:val="32"/>
          <w:szCs w:val="30"/>
          <w:highlight w:val="none"/>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bCs w:val="0"/>
          <w:color w:val="auto"/>
          <w:spacing w:val="-4"/>
          <w:sz w:val="32"/>
          <w:szCs w:val="30"/>
          <w:highlight w:val="none"/>
        </w:rPr>
      </w:pPr>
      <w:r>
        <w:rPr>
          <w:rStyle w:val="11"/>
          <w:rFonts w:hint="eastAsia" w:ascii="仿宋_GB2312" w:hAnsi="仿宋_GB2312" w:cs="仿宋_GB2312"/>
          <w:b w:val="0"/>
          <w:bCs w:val="0"/>
          <w:color w:val="auto"/>
          <w:spacing w:val="-4"/>
          <w:sz w:val="32"/>
          <w:szCs w:val="30"/>
          <w:highlight w:val="none"/>
        </w:rPr>
        <w:t>资金投入情况：本项目总投资</w:t>
      </w:r>
      <w:r>
        <w:rPr>
          <w:rStyle w:val="11"/>
          <w:rFonts w:hint="eastAsia" w:ascii="仿宋_GB2312" w:hAnsi="仿宋_GB2312" w:cs="仿宋_GB2312"/>
          <w:b w:val="0"/>
          <w:bCs w:val="0"/>
          <w:color w:val="auto"/>
          <w:spacing w:val="-4"/>
          <w:sz w:val="32"/>
          <w:szCs w:val="30"/>
          <w:highlight w:val="none"/>
          <w:lang w:val="en-US" w:eastAsia="zh-CN"/>
        </w:rPr>
        <w:t>3</w:t>
      </w:r>
      <w:r>
        <w:rPr>
          <w:rStyle w:val="11"/>
          <w:rFonts w:hint="eastAsia" w:ascii="仿宋_GB2312" w:hAnsi="仿宋_GB2312" w:cs="仿宋_GB2312"/>
          <w:b w:val="0"/>
          <w:bCs w:val="0"/>
          <w:color w:val="auto"/>
          <w:spacing w:val="-4"/>
          <w:sz w:val="32"/>
          <w:szCs w:val="30"/>
          <w:highlight w:val="none"/>
        </w:rPr>
        <w:t>万元，资金来源为本级部门预算资金。</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b w:val="0"/>
          <w:color w:val="auto"/>
          <w:spacing w:val="-4"/>
          <w:sz w:val="32"/>
          <w:highlight w:val="none"/>
        </w:rPr>
      </w:pPr>
      <w:r>
        <w:rPr>
          <w:rStyle w:val="11"/>
          <w:rFonts w:hint="eastAsia" w:ascii="仿宋_GB2312" w:hAnsi="仿宋_GB2312" w:cs="仿宋_GB2312"/>
          <w:b w:val="0"/>
          <w:color w:val="auto"/>
          <w:spacing w:val="-4"/>
          <w:sz w:val="32"/>
          <w:szCs w:val="30"/>
          <w:highlight w:val="none"/>
        </w:rPr>
        <w:t>资金使用情况：根据项目实施情况，项目资金实际支付</w:t>
      </w:r>
      <w:r>
        <w:rPr>
          <w:rStyle w:val="11"/>
          <w:rFonts w:hint="eastAsia" w:ascii="仿宋_GB2312" w:hAnsi="仿宋_GB2312" w:cs="仿宋_GB2312"/>
          <w:b w:val="0"/>
          <w:color w:val="auto"/>
          <w:spacing w:val="-4"/>
          <w:sz w:val="32"/>
          <w:szCs w:val="30"/>
          <w:highlight w:val="none"/>
          <w:lang w:val="en-US" w:eastAsia="zh-CN"/>
        </w:rPr>
        <w:t>0</w:t>
      </w:r>
      <w:r>
        <w:rPr>
          <w:rStyle w:val="11"/>
          <w:rFonts w:hint="eastAsia" w:ascii="仿宋_GB2312" w:hAnsi="仿宋_GB2312" w:cs="仿宋_GB2312"/>
          <w:b w:val="0"/>
          <w:color w:val="auto"/>
          <w:spacing w:val="-4"/>
          <w:sz w:val="32"/>
          <w:szCs w:val="30"/>
          <w:highlight w:val="none"/>
        </w:rPr>
        <w:t>万元，资金执行率达到</w:t>
      </w:r>
      <w:r>
        <w:rPr>
          <w:rStyle w:val="11"/>
          <w:rFonts w:hint="eastAsia" w:ascii="仿宋_GB2312" w:hAnsi="仿宋_GB2312" w:cs="仿宋_GB2312"/>
          <w:b w:val="0"/>
          <w:color w:val="auto"/>
          <w:spacing w:val="-4"/>
          <w:sz w:val="32"/>
          <w:szCs w:val="30"/>
          <w:highlight w:val="none"/>
          <w:lang w:val="en-US" w:eastAsia="zh-CN"/>
        </w:rPr>
        <w:t>0</w:t>
      </w:r>
      <w:r>
        <w:rPr>
          <w:rStyle w:val="11"/>
          <w:rFonts w:hint="eastAsia" w:ascii="仿宋_GB2312" w:hAnsi="仿宋_GB2312" w:cs="仿宋_GB2312"/>
          <w:b w:val="0"/>
          <w:color w:val="auto"/>
          <w:spacing w:val="-4"/>
          <w:sz w:val="32"/>
          <w:szCs w:val="30"/>
          <w:highlight w:val="none"/>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 w:cs="宋体"/>
          <w:color w:val="auto"/>
          <w:sz w:val="32"/>
          <w:szCs w:val="32"/>
          <w:highlight w:val="none"/>
        </w:rPr>
      </w:pPr>
      <w:r>
        <w:rPr>
          <w:rFonts w:hint="eastAsia" w:ascii="仿宋_GB2312" w:hAnsi="仿宋_GB2312" w:cs="仿宋_GB2312"/>
          <w:color w:val="auto"/>
          <w:sz w:val="32"/>
          <w:highlight w:val="none"/>
        </w:rPr>
        <w:t>年度总体目标为：根据《阿图什市卫生健康综合监督执法局2024年财务预算工作会议纪要》，安排项目资金3万元，用于卫生健康综合监督执法局采购执法记录仪费用支出，达到各项业务按照计划执行，有效保障单位日常工作正常开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（一）绩效评价目的、对象和范围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 xml:space="preserve"> 1．绩效评价目的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本次绩效评价遵循财政部《项目支出绩效评价管理办法》（财预〔2020〕10号）和自治区财政厅</w:t>
      </w:r>
      <w:r>
        <w:rPr>
          <w:rFonts w:hint="eastAsia" w:ascii="仿宋_GB2312" w:hAnsi="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cs="仿宋_GB2312"/>
          <w:color w:val="auto"/>
          <w:sz w:val="32"/>
          <w:szCs w:val="32"/>
          <w:highlight w:val="none"/>
        </w:rPr>
        <w:t>等相关政策文件</w:t>
      </w:r>
      <w:r>
        <w:rPr>
          <w:rFonts w:hint="eastAsia" w:ascii="仿宋_GB2312" w:hAnsi="仿宋_GB2312" w:cs="仿宋_GB2312"/>
          <w:color w:val="auto"/>
          <w:sz w:val="32"/>
          <w:szCs w:val="32"/>
          <w:highlight w:val="none"/>
          <w:lang w:eastAsia="zh-CN"/>
        </w:rPr>
        <w:t>和</w:t>
      </w:r>
      <w:r>
        <w:rPr>
          <w:rFonts w:hint="eastAsia" w:ascii="仿宋_GB2312" w:hAnsi="仿宋_GB2312" w:cs="仿宋_GB2312"/>
          <w:color w:val="auto"/>
          <w:sz w:val="32"/>
          <w:szCs w:val="32"/>
          <w:highlight w:val="none"/>
        </w:rPr>
        <w:t>规定，绩效评价旨在评价本项目前期审批、实施过程及实施效果，促进预算管理不断完善，加快绩效目标的实现，保证财政资金有效、合理使用，具体绩效评价的目的细分如下：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2024年卫生监督执法能力提升项目经费</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color w:val="auto"/>
          <w:sz w:val="32"/>
          <w:highlight w:val="none"/>
        </w:rPr>
      </w:pPr>
      <w:r>
        <w:rPr>
          <w:rFonts w:hint="eastAsia" w:ascii="楷体" w:hAnsi="楷体" w:eastAsia="楷体" w:cs="仿宋_GB2312"/>
          <w:b/>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color w:val="auto"/>
          <w:sz w:val="32"/>
          <w:highlight w:val="none"/>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 xml:space="preserve">绩效评价原则 </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w:t>
      </w:r>
      <w:r>
        <w:rPr>
          <w:rFonts w:hint="eastAsia" w:ascii="仿宋_GB2312" w:hAnsi="仿宋_GB2312" w:cs="仿宋_GB2312"/>
          <w:color w:val="auto"/>
          <w:sz w:val="32"/>
          <w:highlight w:val="none"/>
          <w:lang w:eastAsia="zh-CN"/>
        </w:rPr>
        <w:t>应用、</w:t>
      </w:r>
      <w:r>
        <w:rPr>
          <w:rFonts w:hint="eastAsia" w:ascii="仿宋_GB2312" w:hAnsi="仿宋_GB2312" w:cs="仿宋_GB2312"/>
          <w:color w:val="auto"/>
          <w:sz w:val="32"/>
          <w:highlight w:val="none"/>
        </w:rPr>
        <w:t>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rPr>
      </w:pPr>
      <w:r>
        <w:rPr>
          <w:rFonts w:hint="eastAsia" w:ascii="仿宋_GB2312" w:hAnsi="仿宋_GB2312" w:cs="仿宋_GB2312"/>
          <w:b/>
          <w:bCs/>
          <w:color w:val="auto"/>
          <w:sz w:val="32"/>
          <w:highlight w:val="none"/>
        </w:rPr>
        <w:t>2．绩效评价指标体系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在对</w:t>
      </w:r>
      <w:r>
        <w:rPr>
          <w:rFonts w:hint="eastAsia" w:ascii="仿宋_GB2312" w:hAnsi="仿宋_GB2312" w:cs="仿宋_GB2312"/>
          <w:color w:val="auto"/>
          <w:sz w:val="32"/>
          <w:highlight w:val="none"/>
          <w:lang w:eastAsia="zh-CN"/>
        </w:rPr>
        <w:t>2024年卫生监督执法能力提升项目经费</w:t>
      </w:r>
      <w:r>
        <w:rPr>
          <w:rFonts w:hint="eastAsia" w:ascii="仿宋_GB2312" w:hAnsi="仿宋_GB2312" w:cs="仿宋_GB2312"/>
          <w:color w:val="auto"/>
          <w:sz w:val="32"/>
          <w:highlight w:val="none"/>
        </w:rPr>
        <w:t>的深入调研基础上，按照《项目支出绩效评价管理办法》（财预〔2021〕10号）对于指标体系的要求和规范，建立一套适合评价</w:t>
      </w:r>
      <w:r>
        <w:rPr>
          <w:rFonts w:hint="eastAsia" w:ascii="仿宋_GB2312" w:hAnsi="仿宋_GB2312" w:cs="仿宋_GB2312"/>
          <w:color w:val="auto"/>
          <w:sz w:val="32"/>
          <w:highlight w:val="none"/>
          <w:lang w:eastAsia="zh-CN"/>
        </w:rPr>
        <w:t>2024年卫生监督执法能力提升项目经费</w:t>
      </w:r>
      <w:r>
        <w:rPr>
          <w:rFonts w:hint="eastAsia" w:ascii="仿宋_GB2312" w:hAnsi="仿宋_GB2312" w:cs="仿宋_GB2312"/>
          <w:color w:val="auto"/>
          <w:sz w:val="32"/>
          <w:highlight w:val="none"/>
        </w:rPr>
        <w:t>的指标体系，从项目决策、项目过程、项目产出和项目绩效四个维度全面考察</w:t>
      </w:r>
      <w:r>
        <w:rPr>
          <w:rFonts w:hint="eastAsia" w:ascii="仿宋_GB2312" w:hAnsi="仿宋_GB2312" w:cs="仿宋_GB2312"/>
          <w:color w:val="auto"/>
          <w:sz w:val="32"/>
          <w:highlight w:val="none"/>
          <w:lang w:eastAsia="zh-CN"/>
        </w:rPr>
        <w:t>2024年卫生监督执法能力提升项目经费</w:t>
      </w:r>
      <w:r>
        <w:rPr>
          <w:rFonts w:hint="eastAsia" w:ascii="仿宋_GB2312" w:hAnsi="仿宋_GB2312" w:cs="仿宋_GB2312"/>
          <w:color w:val="auto"/>
          <w:sz w:val="32"/>
          <w:highlight w:val="none"/>
        </w:rPr>
        <w:t>资金的效益，并重点对于项目的产出和绩效进行总体分析，以达到通过指标体系的科学评价反思管理及决策问题的目标。（见附件1）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olor w:val="auto"/>
          <w:sz w:val="32"/>
          <w:szCs w:val="32"/>
          <w:highlight w:val="none"/>
        </w:rPr>
      </w:pPr>
      <w:r>
        <w:rPr>
          <w:rFonts w:hint="eastAsia" w:ascii="仿宋_GB2312" w:hAnsi="仿宋_GB2312" w:cs="仿宋_GB2312"/>
          <w:b/>
          <w:bCs/>
          <w:color w:val="auto"/>
          <w:sz w:val="32"/>
          <w:highlight w:val="none"/>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②定性指标分析环节：主要采用公众评判法，通过问卷及抽样调查等方式评价本项目实施后社会公众对于其实施效果的满意程度，将调研结果按照《项目支出绩效评价管理办法》（财预〔2020〕10号）</w:t>
      </w:r>
      <w:r>
        <w:rPr>
          <w:rFonts w:hint="eastAsia" w:ascii="仿宋_GB2312" w:hAnsi="仿宋_GB2312" w:cs="仿宋_GB2312"/>
          <w:color w:val="auto"/>
          <w:sz w:val="32"/>
          <w:highlight w:val="none"/>
          <w:lang w:eastAsia="zh-CN"/>
        </w:rPr>
        <w:t>、</w:t>
      </w:r>
      <w:r>
        <w:rPr>
          <w:rFonts w:hint="eastAsia" w:ascii="仿宋_GB2312" w:hAnsi="仿宋_GB2312" w:cs="仿宋_GB2312"/>
          <w:color w:val="auto"/>
          <w:sz w:val="32"/>
          <w:highlight w:val="none"/>
        </w:rPr>
        <w:t>《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绩效指标明确性：比较法，比较分析年初编制项目支出绩效目标表是否符合双七原则，是否可衡量。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预算编制科学性</w:t>
      </w:r>
      <w:r>
        <w:rPr>
          <w:rFonts w:hint="eastAsia" w:ascii="仿宋_GB2312" w:hAnsi="仿宋_GB2312" w:cs="仿宋_GB2312"/>
          <w:color w:val="auto"/>
          <w:sz w:val="32"/>
          <w:highlight w:val="none"/>
        </w:rPr>
        <w:tab/>
      </w:r>
      <w:r>
        <w:rPr>
          <w:rFonts w:hint="eastAsia" w:ascii="仿宋_GB2312" w:hAnsi="仿宋_GB2312" w:cs="仿宋_GB2312"/>
          <w:color w:val="auto"/>
          <w:sz w:val="32"/>
          <w:highlight w:val="none"/>
        </w:rPr>
        <w:t>成本效益分析法</w:t>
      </w:r>
      <w:r>
        <w:rPr>
          <w:rFonts w:hint="eastAsia" w:ascii="仿宋_GB2312" w:hAnsi="仿宋_GB2312" w:cs="仿宋_GB2312"/>
          <w:color w:val="auto"/>
          <w:sz w:val="32"/>
          <w:highlight w:val="none"/>
        </w:rPr>
        <w:tab/>
      </w:r>
      <w:r>
        <w:rPr>
          <w:rFonts w:hint="eastAsia" w:ascii="仿宋_GB2312" w:hAnsi="仿宋_GB2312" w:cs="仿宋_GB2312"/>
          <w:color w:val="auto"/>
          <w:sz w:val="32"/>
          <w:highlight w:val="none"/>
        </w:rPr>
        <w:t>分析在产出一定的情况下，成本取值是否有依据，是否经过询价，是否按照市场最低成本编制。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资金分配合理性：因素分析法，综合分析资金的分配依据是否充分，分配金额是否与项目实施单位需求金额一致，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资金使用合规性：文献法、实地勘察法，一是查找资金管理办法，包括专项资金管理办法和单位自有资金管理办法；二是通过查账了解具体开支情况，是否专款专用，是否按照标准支出。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color w:val="auto"/>
          <w:sz w:val="32"/>
          <w:szCs w:val="32"/>
          <w:highlight w:val="none"/>
        </w:rPr>
      </w:pPr>
      <w:r>
        <w:rPr>
          <w:rFonts w:hint="eastAsia" w:ascii="仿宋_GB2312" w:hAnsi="仿宋_GB2312" w:cs="仿宋_GB2312"/>
          <w:b/>
          <w:color w:val="auto"/>
          <w:sz w:val="32"/>
          <w:szCs w:val="32"/>
          <w:highlight w:val="none"/>
        </w:rPr>
        <w:t>绩效评价标准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lang w:eastAsia="zh-CN"/>
        </w:rPr>
        <w:t>2024年卫生监督执法能力提升项目经费</w:t>
      </w:r>
      <w:r>
        <w:rPr>
          <w:rFonts w:hint="eastAsia" w:ascii="仿宋_GB2312" w:hAnsi="仿宋_GB2312" w:cs="仿宋_GB2312"/>
          <w:color w:val="auto"/>
          <w:sz w:val="32"/>
          <w:highlight w:val="none"/>
        </w:rPr>
        <w:t>属于</w:t>
      </w:r>
      <w:r>
        <w:rPr>
          <w:rFonts w:hint="eastAsia" w:ascii="仿宋_GB2312" w:hAnsi="仿宋_GB2312" w:cs="仿宋_GB2312"/>
          <w:color w:val="auto"/>
          <w:sz w:val="32"/>
          <w:highlight w:val="none"/>
          <w:lang w:val="en-US" w:eastAsia="zh-CN"/>
        </w:rPr>
        <w:t>业务</w:t>
      </w:r>
      <w:r>
        <w:rPr>
          <w:rFonts w:hint="eastAsia" w:ascii="仿宋_GB2312" w:hAnsi="仿宋_GB2312" w:cs="仿宋_GB2312"/>
          <w:color w:val="auto"/>
          <w:sz w:val="32"/>
          <w:highlight w:val="none"/>
        </w:rPr>
        <w:t>类项目，</w:t>
      </w:r>
      <w:r>
        <w:rPr>
          <w:rFonts w:hint="eastAsia" w:ascii="仿宋_GB2312" w:hAnsi="仿宋_GB2312" w:cs="仿宋_GB2312"/>
          <w:bCs/>
          <w:color w:val="auto"/>
          <w:sz w:val="32"/>
          <w:highlight w:val="none"/>
        </w:rPr>
        <w:t>有</w:t>
      </w:r>
      <w:r>
        <w:rPr>
          <w:rFonts w:hint="eastAsia" w:ascii="仿宋_GB2312" w:hAnsi="仿宋_GB2312" w:cs="仿宋_GB2312"/>
          <w:color w:val="auto"/>
          <w:sz w:val="32"/>
          <w:highlight w:val="none"/>
        </w:rPr>
        <w:t>相应的行业标准和历史标准，故采用</w:t>
      </w:r>
      <w:r>
        <w:rPr>
          <w:rFonts w:hint="eastAsia" w:ascii="仿宋_GB2312"/>
          <w:color w:val="auto"/>
          <w:sz w:val="32"/>
          <w:highlight w:val="none"/>
        </w:rPr>
        <w:t>计划标准、行业标准、历史标准</w:t>
      </w:r>
      <w:r>
        <w:rPr>
          <w:rFonts w:hint="eastAsia" w:ascii="仿宋_GB2312" w:hAnsi="仿宋_GB2312" w:cs="仿宋_GB2312"/>
          <w:color w:val="auto"/>
          <w:sz w:val="32"/>
          <w:highlight w:val="none"/>
        </w:rPr>
        <w:t>评价该项目。</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color w:val="auto"/>
          <w:sz w:val="32"/>
          <w:highlight w:val="none"/>
        </w:rPr>
      </w:pPr>
      <w:r>
        <w:rPr>
          <w:rFonts w:hint="eastAsia" w:ascii="楷体" w:hAnsi="楷体" w:eastAsia="楷体" w:cs="仿宋_GB2312"/>
          <w:b/>
          <w:bCs/>
          <w:color w:val="auto"/>
          <w:sz w:val="32"/>
          <w:highlight w:val="none"/>
        </w:rPr>
        <w:t>（三）绩效评价工作过程。</w:t>
      </w:r>
    </w:p>
    <w:p>
      <w:pPr>
        <w:pBdr>
          <w:top w:val="none" w:color="auto" w:sz="0" w:space="0"/>
          <w:left w:val="none" w:color="auto" w:sz="0" w:space="0"/>
          <w:bottom w:val="none" w:color="auto" w:sz="0" w:space="31"/>
          <w:right w:val="none" w:color="auto" w:sz="0" w:space="2"/>
        </w:pBdr>
        <w:autoSpaceDN w:val="0"/>
        <w:adjustRightInd w:val="0"/>
        <w:spacing w:line="560" w:lineRule="exact"/>
        <w:ind w:left="600" w:leftChars="200"/>
        <w:contextualSpacing/>
        <w:rPr>
          <w:rFonts w:hint="eastAsia" w:ascii="仿宋_GB2312" w:hAnsi="仿宋_GB2312" w:cs="仿宋_GB2312"/>
          <w:b/>
          <w:color w:val="auto"/>
          <w:sz w:val="32"/>
          <w:highlight w:val="none"/>
        </w:rPr>
      </w:pPr>
      <w:r>
        <w:rPr>
          <w:rFonts w:hint="eastAsia" w:ascii="仿宋_GB2312" w:hAnsi="仿宋_GB2312" w:cs="仿宋_GB2312"/>
          <w:b/>
          <w:color w:val="auto"/>
          <w:sz w:val="32"/>
          <w:highlight w:val="none"/>
        </w:rPr>
        <w:t>1．前期准备</w:t>
      </w:r>
    </w:p>
    <w:p>
      <w:pPr>
        <w:pStyle w:val="31"/>
        <w:keepNext w:val="0"/>
        <w:keepLines w:val="0"/>
        <w:numPr>
          <w:ilvl w:val="0"/>
          <w:numId w:val="0"/>
        </w:numPr>
        <w:spacing w:before="0" w:after="0" w:line="560" w:lineRule="exact"/>
        <w:ind w:firstLine="640" w:firstLineChars="200"/>
        <w:outlineLvl w:val="9"/>
        <w:rPr>
          <w:b w:val="0"/>
          <w:bCs w:val="0"/>
          <w:color w:val="auto"/>
          <w:highlight w:val="none"/>
        </w:rPr>
      </w:pPr>
      <w:r>
        <w:rPr>
          <w:rFonts w:hint="eastAsia"/>
          <w:b w:val="0"/>
          <w:bCs w:val="0"/>
          <w:color w:val="auto"/>
          <w:highlight w:val="none"/>
        </w:rPr>
        <w:t>本次评价成立了评价工作组，成员如下：</w:t>
      </w:r>
    </w:p>
    <w:tbl>
      <w:tblPr>
        <w:tblStyle w:val="12"/>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8"/>
        <w:gridCol w:w="1827"/>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7" w:hRule="atLeast"/>
          <w:jc w:val="center"/>
        </w:trPr>
        <w:tc>
          <w:tcPr>
            <w:tcW w:w="2568" w:type="dxa"/>
            <w:vAlign w:val="center"/>
          </w:tcPr>
          <w:p>
            <w:pPr>
              <w:pStyle w:val="31"/>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1827" w:type="dxa"/>
            <w:vAlign w:val="center"/>
          </w:tcPr>
          <w:p>
            <w:pPr>
              <w:pStyle w:val="31"/>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职务</w:t>
            </w:r>
          </w:p>
        </w:tc>
        <w:tc>
          <w:tcPr>
            <w:tcW w:w="3901" w:type="dxa"/>
            <w:vAlign w:val="center"/>
          </w:tcPr>
          <w:p>
            <w:pPr>
              <w:pStyle w:val="31"/>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1"/>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骆晓波</w:t>
            </w:r>
          </w:p>
        </w:tc>
        <w:tc>
          <w:tcPr>
            <w:tcW w:w="1827" w:type="dxa"/>
            <w:vAlign w:val="center"/>
          </w:tcPr>
          <w:p>
            <w:pPr>
              <w:pStyle w:val="31"/>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901" w:type="dxa"/>
            <w:vAlign w:val="center"/>
          </w:tcPr>
          <w:p>
            <w:pPr>
              <w:pStyle w:val="31"/>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1"/>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刘亚美</w:t>
            </w:r>
          </w:p>
        </w:tc>
        <w:tc>
          <w:tcPr>
            <w:tcW w:w="1827" w:type="dxa"/>
            <w:vAlign w:val="center"/>
          </w:tcPr>
          <w:p>
            <w:pPr>
              <w:pStyle w:val="31"/>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1"/>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1"/>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lang w:val="en-US" w:eastAsia="zh-CN"/>
              </w:rPr>
              <w:t>陈大发</w:t>
            </w:r>
          </w:p>
        </w:tc>
        <w:tc>
          <w:tcPr>
            <w:tcW w:w="1827" w:type="dxa"/>
            <w:vAlign w:val="center"/>
          </w:tcPr>
          <w:p>
            <w:pPr>
              <w:pStyle w:val="31"/>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1"/>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出具项目绩效评价报告</w:t>
            </w:r>
          </w:p>
        </w:tc>
      </w:tr>
    </w:tbl>
    <w:p>
      <w:pPr>
        <w:pStyle w:val="25"/>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2024年卫生监督执法能力提升项目经费的内容和特征制定了评价指标体系及评价标准以及评价实施方案，修正并确定所需资料清单，最终确定实施方案。</w:t>
      </w:r>
    </w:p>
    <w:p>
      <w:pPr>
        <w:pStyle w:val="25"/>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5"/>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w:t>
      </w:r>
      <w:r>
        <w:rPr>
          <w:rFonts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24"/>
          <w:highlight w:val="none"/>
          <w:lang w:val="en-US" w:eastAsia="zh-CN" w:bidi="ar-SA"/>
        </w:rPr>
        <w:t>年4月1日-4月20日，评价工作进入实施阶段。数据采集方面，评价组整理单位前期提交的各项资料，与项目实施负责人沟通，了解部门预算资金的内容、操作流程、管理机制、资金使用方向等情况；进行项目支出部门评价各项工作信息采集，了解项目设置背景及资金使用等情况。</w:t>
      </w:r>
    </w:p>
    <w:p>
      <w:pPr>
        <w:pStyle w:val="25"/>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5"/>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w:t>
      </w:r>
      <w:r>
        <w:rPr>
          <w:rFonts w:ascii="仿宋_GB2312" w:hAnsi="仿宋_GB2312" w:eastAsia="仿宋_GB2312" w:cs="仿宋_GB2312"/>
          <w:color w:val="auto"/>
          <w:sz w:val="32"/>
          <w:szCs w:val="32"/>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5"/>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5"/>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5"/>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组织管理、产出与效益效果。在此基础上，以相关的项目数据为基础，综合运用不同的评价方法，结合评价标准和评分规则，2024年卫生监督执法能力提升项目经费综合得分为84.5分，</w:t>
      </w:r>
      <w:r>
        <w:rPr>
          <w:rFonts w:hint="eastAsia" w:ascii="仿宋_GB2312" w:hAnsi="Cambria" w:eastAsia="仿宋_GB2312"/>
          <w:color w:val="auto"/>
          <w:sz w:val="32"/>
          <w:szCs w:val="32"/>
          <w:highlight w:val="none"/>
        </w:rPr>
        <w:t>评价结果为良。</w:t>
      </w:r>
    </w:p>
    <w:p>
      <w:pPr>
        <w:pStyle w:val="25"/>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2024年卫生监督执法能力提升项目经费评价得分情况</w:t>
      </w:r>
    </w:p>
    <w:tbl>
      <w:tblPr>
        <w:tblStyle w:val="12"/>
        <w:tblW w:w="9309" w:type="dxa"/>
        <w:jc w:val="center"/>
        <w:tblInd w:w="0" w:type="dxa"/>
        <w:tblLayout w:type="fixed"/>
        <w:tblCellMar>
          <w:top w:w="0" w:type="dxa"/>
          <w:left w:w="10" w:type="dxa"/>
          <w:bottom w:w="0" w:type="dxa"/>
          <w:right w:w="10" w:type="dxa"/>
        </w:tblCellMar>
      </w:tblPr>
      <w:tblGrid>
        <w:gridCol w:w="1447"/>
        <w:gridCol w:w="2045"/>
        <w:gridCol w:w="1951"/>
        <w:gridCol w:w="3866"/>
      </w:tblGrid>
      <w:tr>
        <w:tblPrEx>
          <w:tblLayout w:type="fixed"/>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Layout w:type="fixed"/>
          <w:tblCellMar>
            <w:top w:w="0" w:type="dxa"/>
            <w:left w:w="10" w:type="dxa"/>
            <w:bottom w:w="0" w:type="dxa"/>
            <w:right w:w="10" w:type="dxa"/>
          </w:tblCellMar>
        </w:tblPrEx>
        <w:trPr>
          <w:trHeight w:val="596" w:hRule="exact"/>
          <w:jc w:val="center"/>
        </w:trPr>
        <w:tc>
          <w:tcPr>
            <w:tcW w:w="1447"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tcBorders>
            <w:shd w:val="clear" w:color="auto" w:fill="FFFFFF"/>
            <w:vAlign w:val="center"/>
          </w:tcPr>
          <w:p>
            <w:pPr>
              <w:pStyle w:val="32"/>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right w:val="single" w:color="auto" w:sz="4" w:space="0"/>
            </w:tcBorders>
            <w:shd w:val="clear" w:color="auto" w:fill="FFFFFF"/>
            <w:vAlign w:val="top"/>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Layout w:type="fixed"/>
          <w:tblCellMar>
            <w:top w:w="0" w:type="dxa"/>
            <w:left w:w="10" w:type="dxa"/>
            <w:bottom w:w="0" w:type="dxa"/>
            <w:right w:w="10" w:type="dxa"/>
          </w:tblCellMar>
        </w:tblPrEx>
        <w:trPr>
          <w:trHeight w:val="595" w:hRule="exact"/>
          <w:jc w:val="center"/>
        </w:trPr>
        <w:tc>
          <w:tcPr>
            <w:tcW w:w="1447" w:type="dxa"/>
            <w:tcBorders>
              <w:top w:val="single" w:color="auto" w:sz="4" w:space="0"/>
              <w:left w:val="single" w:color="auto" w:sz="4" w:space="0"/>
            </w:tcBorders>
            <w:shd w:val="clear" w:color="auto" w:fill="FFFFFF"/>
            <w:vAlign w:val="center"/>
          </w:tcPr>
          <w:p>
            <w:pPr>
              <w:pStyle w:val="32"/>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tcBorders>
            <w:shd w:val="clear" w:color="auto" w:fill="FFFFFF"/>
            <w:vAlign w:val="center"/>
          </w:tcPr>
          <w:p>
            <w:pPr>
              <w:pStyle w:val="32"/>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12</w:t>
            </w:r>
          </w:p>
        </w:tc>
        <w:tc>
          <w:tcPr>
            <w:tcW w:w="3866" w:type="dxa"/>
            <w:tcBorders>
              <w:top w:val="single" w:color="auto" w:sz="4" w:space="0"/>
              <w:left w:val="single" w:color="auto" w:sz="4" w:space="0"/>
              <w:right w:val="single" w:color="auto" w:sz="4" w:space="0"/>
            </w:tcBorders>
            <w:shd w:val="clear" w:color="auto" w:fill="FFFFFF"/>
            <w:vAlign w:val="bottom"/>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预算执行率扣5分</w:t>
            </w:r>
          </w:p>
        </w:tc>
      </w:tr>
      <w:tr>
        <w:tblPrEx>
          <w:tblLayout w:type="fixed"/>
          <w:tblCellMar>
            <w:top w:w="0" w:type="dxa"/>
            <w:left w:w="10" w:type="dxa"/>
            <w:bottom w:w="0" w:type="dxa"/>
            <w:right w:w="10" w:type="dxa"/>
          </w:tblCellMar>
        </w:tblPrEx>
        <w:trPr>
          <w:trHeight w:val="1055" w:hRule="exact"/>
          <w:jc w:val="center"/>
        </w:trPr>
        <w:tc>
          <w:tcPr>
            <w:tcW w:w="1447"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shd w:val="clear" w:color="auto" w:fill="FFFFFF"/>
            <w:vAlign w:val="center"/>
          </w:tcPr>
          <w:p>
            <w:pPr>
              <w:pStyle w:val="32"/>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19.5</w:t>
            </w:r>
          </w:p>
        </w:tc>
        <w:tc>
          <w:tcPr>
            <w:tcW w:w="3866" w:type="dxa"/>
            <w:tcBorders>
              <w:top w:val="single" w:color="auto" w:sz="4" w:space="0"/>
              <w:left w:val="single" w:color="auto" w:sz="4" w:space="0"/>
              <w:righ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质量指标扣3.5分</w:t>
            </w:r>
          </w:p>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成本指标扣7分</w:t>
            </w:r>
          </w:p>
        </w:tc>
      </w:tr>
      <w:tr>
        <w:tblPrEx>
          <w:tblLayout w:type="fixed"/>
          <w:tblCellMar>
            <w:top w:w="0" w:type="dxa"/>
            <w:left w:w="10" w:type="dxa"/>
            <w:bottom w:w="0" w:type="dxa"/>
            <w:right w:w="10" w:type="dxa"/>
          </w:tblCellMar>
        </w:tblPrEx>
        <w:trPr>
          <w:trHeight w:val="536"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spacing w:line="560" w:lineRule="exact"/>
              <w:rPr>
                <w:rFonts w:hint="eastAsia" w:ascii="仿宋_GB2312" w:hAnsi="仿宋_GB2312" w:cs="仿宋_GB2312"/>
                <w:color w:val="auto"/>
                <w:sz w:val="32"/>
                <w:szCs w:val="32"/>
                <w:highlight w:val="none"/>
              </w:rPr>
            </w:pPr>
          </w:p>
        </w:tc>
      </w:tr>
      <w:tr>
        <w:tblPrEx>
          <w:tblLayout w:type="fixed"/>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84.5</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2024年卫生监督执法能力提升项目经费</w:t>
      </w:r>
      <w:r>
        <w:rPr>
          <w:rFonts w:hint="eastAsia" w:ascii="仿宋_GB2312" w:hAnsi="仿宋_GB2312" w:cs="仿宋_GB2312"/>
          <w:color w:val="auto"/>
          <w:sz w:val="32"/>
          <w:szCs w:val="32"/>
          <w:highlight w:val="none"/>
        </w:rPr>
        <w:t>资金达到了年初设立的绩效目标，在实施过程中取得了良好的成效，具体表现在以下几点：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通过本项目的实施202</w:t>
      </w:r>
      <w:r>
        <w:rPr>
          <w:rFonts w:ascii="仿宋_GB2312" w:hAnsi="仿宋_GB2312" w:cs="仿宋_GB2312"/>
          <w:color w:val="auto"/>
          <w:sz w:val="32"/>
          <w:szCs w:val="32"/>
          <w:highlight w:val="none"/>
        </w:rPr>
        <w:t>4</w:t>
      </w:r>
      <w:r>
        <w:rPr>
          <w:rFonts w:hint="eastAsia" w:ascii="仿宋_GB2312" w:hAnsi="仿宋_GB2312" w:cs="仿宋_GB2312"/>
          <w:color w:val="auto"/>
          <w:sz w:val="32"/>
          <w:szCs w:val="32"/>
          <w:highlight w:val="none"/>
        </w:rPr>
        <w:t>年已完成采购执法记录仪、服装数量6套等工作；通过该项目的实施达到各项业务按照计划执行，有效保障单位日常工作正常开展。</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全年</w:t>
      </w:r>
      <w:r>
        <w:rPr>
          <w:rFonts w:hint="eastAsia" w:ascii="仿宋_GB2312" w:hAnsi="仿宋" w:cs="宋体"/>
          <w:color w:val="auto"/>
          <w:kern w:val="0"/>
          <w:sz w:val="32"/>
          <w:szCs w:val="32"/>
          <w:highlight w:val="none"/>
          <w:lang w:eastAsia="zh-CN"/>
        </w:rPr>
        <w:t>2024年卫生监督执法能力提升项目经费</w:t>
      </w:r>
      <w:r>
        <w:rPr>
          <w:rFonts w:hint="eastAsia" w:ascii="仿宋_GB2312" w:hAnsi="仿宋_GB2312" w:cs="仿宋_GB2312"/>
          <w:color w:val="auto"/>
          <w:sz w:val="32"/>
          <w:szCs w:val="32"/>
          <w:highlight w:val="none"/>
        </w:rPr>
        <w:t>支出共计</w:t>
      </w:r>
      <w:r>
        <w:rPr>
          <w:rFonts w:hint="eastAsia" w:ascii="仿宋_GB2312" w:hAnsi="仿宋_GB2312" w:cs="仿宋_GB2312"/>
          <w:color w:val="auto"/>
          <w:sz w:val="32"/>
          <w:szCs w:val="32"/>
          <w:highlight w:val="none"/>
          <w:lang w:val="en-US" w:eastAsia="zh-CN"/>
        </w:rPr>
        <w:t>0</w:t>
      </w:r>
      <w:r>
        <w:rPr>
          <w:rFonts w:hint="eastAsia" w:ascii="仿宋_GB2312" w:hAnsi="仿宋_GB2312" w:cs="仿宋_GB2312"/>
          <w:color w:val="auto"/>
          <w:sz w:val="32"/>
          <w:szCs w:val="32"/>
          <w:highlight w:val="none"/>
        </w:rPr>
        <w:t>万元，评价得分值</w:t>
      </w:r>
      <w:r>
        <w:rPr>
          <w:rFonts w:hint="eastAsia" w:ascii="仿宋_GB2312" w:hAnsi="仿宋_GB2312" w:cs="仿宋_GB2312"/>
          <w:color w:val="auto"/>
          <w:sz w:val="32"/>
          <w:szCs w:val="32"/>
          <w:highlight w:val="none"/>
          <w:lang w:val="en-US" w:eastAsia="zh-CN"/>
        </w:rPr>
        <w:t>84.5</w:t>
      </w:r>
      <w:r>
        <w:rPr>
          <w:rFonts w:hint="eastAsia" w:ascii="仿宋_GB2312" w:hAnsi="仿宋_GB2312" w:cs="仿宋_GB2312"/>
          <w:color w:val="auto"/>
          <w:sz w:val="32"/>
          <w:szCs w:val="32"/>
          <w:highlight w:val="none"/>
        </w:rPr>
        <w:t>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7"/>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本项目的立项符合相关法规政策及部门职责，依据充分；项目严格按照规定的程序申请设立；审批文件、材料符合相关要求；项目前期已经过必要的可行性研究、专家论证、风险评估、绩效评估、集体决策。</w:t>
      </w:r>
    </w:p>
    <w:p>
      <w:pPr>
        <w:spacing w:line="560" w:lineRule="exact"/>
        <w:ind w:firstLine="640" w:firstLineChars="20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绩效目标与实际工作内容相关；项目预期产出效益和效果符合正常的业绩水平；目标设置与预算确定的项目投资额或资金量相匹配。严格按照要求将项目绩效目标细化分解为具体的绩效指标并通过清晰、可衡量的指标值予以体现；与项目目标任务数或计划数相对应。</w:t>
      </w:r>
    </w:p>
    <w:p>
      <w:pPr>
        <w:snapToGrid w:val="0"/>
        <w:spacing w:line="560" w:lineRule="exact"/>
        <w:ind w:firstLine="640" w:firstLineChars="200"/>
        <w:outlineLvl w:val="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并及时支付，资金使用符合国家法规和财务管理制度；资金拨付有完整的审批程序和手续，符合项目预算批复或合同规定的用途；不存在截留、挤占、挪用、虚列支出等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评估结果作为申报2025年</w:t>
      </w:r>
      <w:r>
        <w:rPr>
          <w:rFonts w:hint="eastAsia" w:ascii="仿宋_GB2312" w:hAnsi="仿宋_GB2312" w:cs="仿宋_GB2312"/>
          <w:color w:val="auto"/>
          <w:sz w:val="32"/>
          <w:szCs w:val="32"/>
          <w:highlight w:val="none"/>
          <w:lang w:eastAsia="zh-CN"/>
        </w:rPr>
        <w:t>卫生监督执法能力提升项目经费</w:t>
      </w:r>
      <w:r>
        <w:rPr>
          <w:rFonts w:hint="eastAsia" w:ascii="仿宋_GB2312" w:hAnsi="仿宋_GB2312" w:cs="仿宋_GB2312"/>
          <w:color w:val="auto"/>
          <w:sz w:val="32"/>
          <w:szCs w:val="32"/>
          <w:highlight w:val="none"/>
        </w:rPr>
        <w:t>预算依据。继而进行该项目支出预算的编制、执行和上报等工作。在项目预算的编制工程中，坚持履行政府职能方面的轻重缓急程度进行先后排序，坚持对</w:t>
      </w:r>
      <w:r>
        <w:rPr>
          <w:rFonts w:hint="eastAsia" w:ascii="仿宋_GB2312" w:hAnsi="仿宋_GB2312" w:cs="仿宋_GB2312"/>
          <w:color w:val="auto"/>
          <w:sz w:val="32"/>
          <w:szCs w:val="32"/>
          <w:highlight w:val="none"/>
          <w:lang w:eastAsia="zh-CN"/>
        </w:rPr>
        <w:t>2024年卫生监督执法能力提升项目经费</w:t>
      </w:r>
      <w:r>
        <w:rPr>
          <w:rFonts w:hint="eastAsia" w:ascii="仿宋_GB2312" w:hAnsi="仿宋_GB2312" w:cs="仿宋_GB2312"/>
          <w:color w:val="auto"/>
          <w:sz w:val="32"/>
          <w:szCs w:val="32"/>
          <w:highlight w:val="none"/>
        </w:rPr>
        <w:t>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w:t>
      </w:r>
      <w:r>
        <w:rPr>
          <w:rFonts w:hint="eastAsia" w:ascii="仿宋_GB2312" w:hAnsi="仿宋_GB2312" w:cs="仿宋_GB2312"/>
          <w:color w:val="auto"/>
          <w:sz w:val="32"/>
          <w:szCs w:val="32"/>
          <w:highlight w:val="none"/>
          <w:lang w:eastAsia="zh-CN"/>
        </w:rPr>
        <w:t>2024年卫生监督执法能力提升项目经费</w:t>
      </w:r>
      <w:r>
        <w:rPr>
          <w:rFonts w:hint="eastAsia" w:ascii="仿宋_GB2312" w:hAnsi="仿宋_GB2312" w:cs="仿宋_GB2312"/>
          <w:color w:val="auto"/>
          <w:sz w:val="32"/>
          <w:szCs w:val="32"/>
          <w:highlight w:val="none"/>
        </w:rPr>
        <w:t>组织形式，明确了该项目经费的开支范围为</w:t>
      </w:r>
      <w:r>
        <w:rPr>
          <w:rFonts w:hint="eastAsia" w:ascii="仿宋_GB2312" w:hAnsi="仿宋_GB2312" w:cs="仿宋_GB2312"/>
          <w:color w:val="auto"/>
          <w:sz w:val="32"/>
          <w:szCs w:val="32"/>
          <w:highlight w:val="none"/>
          <w:lang w:eastAsia="zh-CN"/>
        </w:rPr>
        <w:t>2024年卫生监督执法能力提升项目经费</w:t>
      </w:r>
      <w:r>
        <w:rPr>
          <w:rFonts w:hint="eastAsia" w:ascii="仿宋_GB2312" w:hAnsi="仿宋_GB2312" w:cs="仿宋_GB2312"/>
          <w:color w:val="auto"/>
          <w:sz w:val="32"/>
          <w:szCs w:val="32"/>
          <w:highlight w:val="none"/>
          <w:lang w:val="en-US" w:eastAsia="zh-CN"/>
        </w:rPr>
        <w:t>资金</w:t>
      </w:r>
      <w:r>
        <w:rPr>
          <w:rFonts w:hint="eastAsia" w:ascii="仿宋_GB2312" w:hAnsi="仿宋_GB2312" w:cs="仿宋_GB2312"/>
          <w:color w:val="auto"/>
          <w:sz w:val="32"/>
          <w:szCs w:val="32"/>
          <w:highlight w:val="none"/>
        </w:rPr>
        <w:t>，严格做到专款专用，责任到人。在资金使用环节，严格遵守相关规定，严格按照我局资金财务审批流程办理款项支付。在会计核算环节，对本项目资金实行单独核算，确保部门预算资金专款专用。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（3）运用财务内控系统实时监管</w:t>
      </w:r>
      <w:bookmarkStart w:id="0" w:name="_GoBack"/>
      <w:bookmarkEnd w:id="0"/>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将财政批复的部门预算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2024年卫生监督执法能力提升项目经费</w:t>
      </w:r>
      <w:r>
        <w:rPr>
          <w:rFonts w:hint="eastAsia" w:ascii="仿宋_GB2312" w:hAnsi="仿宋_GB2312" w:cs="仿宋_GB2312"/>
          <w:color w:val="auto"/>
          <w:sz w:val="32"/>
          <w:szCs w:val="32"/>
          <w:highlight w:val="none"/>
        </w:rPr>
        <w:t>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（三）项目产出情况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color w:val="auto"/>
          <w:sz w:val="32"/>
          <w:szCs w:val="32"/>
          <w:highlight w:val="none"/>
        </w:rPr>
      </w:pPr>
      <w:r>
        <w:rPr>
          <w:rFonts w:hint="eastAsia" w:ascii="仿宋_GB2312" w:hAnsi="仿宋_GB2312" w:cs="仿宋_GB2312"/>
          <w:color w:val="auto"/>
          <w:sz w:val="32"/>
          <w:szCs w:val="32"/>
          <w:highlight w:val="none"/>
        </w:rPr>
        <w:t>数量指标为采购执法记录仪、服装数量，预期指标值是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6套，实际完成值是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6套，指标达到预期目标。</w:t>
      </w:r>
    </w:p>
    <w:p>
      <w:pPr>
        <w:numPr>
          <w:ilvl w:val="0"/>
          <w:numId w:val="3"/>
        </w:num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color w:val="auto"/>
          <w:sz w:val="32"/>
          <w:szCs w:val="32"/>
          <w:highlight w:val="none"/>
        </w:rPr>
      </w:pPr>
      <w:r>
        <w:rPr>
          <w:rFonts w:hint="eastAsia" w:ascii="仿宋_GB2312"/>
          <w:b/>
          <w:color w:val="auto"/>
          <w:sz w:val="32"/>
          <w:szCs w:val="32"/>
          <w:highlight w:val="none"/>
        </w:rPr>
        <w:t>质量指标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质量指标为采购物品合格率，预期指标值是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100%，指标达到预期目标。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质量指标为资金使用合规率，预期指标值是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0%，指标</w:t>
      </w:r>
      <w:r>
        <w:rPr>
          <w:rFonts w:hint="eastAsia" w:ascii="仿宋_GB2312"/>
          <w:color w:val="auto"/>
          <w:sz w:val="32"/>
          <w:szCs w:val="32"/>
          <w:highlight w:val="none"/>
          <w:lang w:val="en-US" w:eastAsia="zh-CN"/>
        </w:rPr>
        <w:t>未</w:t>
      </w:r>
      <w:r>
        <w:rPr>
          <w:rFonts w:hint="eastAsia" w:ascii="仿宋_GB2312"/>
          <w:color w:val="auto"/>
          <w:sz w:val="32"/>
          <w:szCs w:val="32"/>
          <w:highlight w:val="none"/>
        </w:rPr>
        <w:t>达到预期目标。原因：项目部分支出资料及手续不完整，导致指标未能完成；措施：下一年度做好项目管理工作，及时收集、完善支出资料，减少偏差。</w:t>
      </w:r>
    </w:p>
    <w:p>
      <w:pPr>
        <w:numPr>
          <w:ilvl w:val="0"/>
          <w:numId w:val="3"/>
        </w:num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ascii="仿宋_GB2312"/>
          <w:color w:val="auto"/>
          <w:sz w:val="32"/>
          <w:szCs w:val="32"/>
          <w:highlight w:val="none"/>
        </w:rPr>
      </w:pPr>
      <w:r>
        <w:rPr>
          <w:rFonts w:hint="eastAsia" w:ascii="仿宋_GB2312"/>
          <w:b/>
          <w:color w:val="auto"/>
          <w:sz w:val="32"/>
          <w:szCs w:val="32"/>
          <w:highlight w:val="none"/>
        </w:rPr>
        <w:t>时效指标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0" w:firstLineChars="200"/>
        <w:textAlignment w:val="auto"/>
        <w:rPr>
          <w:rFonts w:ascii="仿宋_GB2312"/>
          <w:color w:val="auto"/>
          <w:sz w:val="32"/>
          <w:szCs w:val="32"/>
          <w:highlight w:val="none"/>
        </w:rPr>
      </w:pPr>
      <w:r>
        <w:rPr>
          <w:rFonts w:hint="eastAsia" w:ascii="仿宋_GB2312"/>
          <w:color w:val="auto"/>
          <w:sz w:val="32"/>
          <w:szCs w:val="32"/>
          <w:highlight w:val="none"/>
        </w:rPr>
        <w:t>时效指标为项目结束时间，预期指标值是2024年12月，实际完成值是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2024年12月，指标达到预期目标。</w:t>
      </w:r>
    </w:p>
    <w:p>
      <w:pPr>
        <w:spacing w:line="560" w:lineRule="exact"/>
        <w:ind w:firstLine="643" w:firstLineChars="200"/>
        <w:rPr>
          <w:rFonts w:hint="eastAsia" w:ascii="仿宋_GB2312"/>
          <w:b/>
          <w:color w:val="auto"/>
          <w:sz w:val="32"/>
          <w:szCs w:val="32"/>
          <w:highlight w:val="none"/>
        </w:rPr>
      </w:pPr>
      <w:r>
        <w:rPr>
          <w:rFonts w:hint="eastAsia" w:ascii="仿宋_GB2312"/>
          <w:b/>
          <w:color w:val="auto"/>
          <w:sz w:val="32"/>
          <w:szCs w:val="32"/>
          <w:highlight w:val="none"/>
        </w:rPr>
        <w:t>4．成本指标</w:t>
      </w:r>
    </w:p>
    <w:p>
      <w:pPr>
        <w:spacing w:line="560" w:lineRule="exact"/>
        <w:ind w:firstLine="640" w:firstLineChars="200"/>
        <w:rPr>
          <w:rFonts w:ascii="仿宋_GB2312"/>
          <w:color w:val="auto"/>
          <w:sz w:val="32"/>
          <w:szCs w:val="32"/>
          <w:highlight w:val="none"/>
        </w:rPr>
      </w:pPr>
      <w:r>
        <w:rPr>
          <w:rFonts w:hint="eastAsia" w:ascii="仿宋_GB2312"/>
          <w:color w:val="auto"/>
          <w:sz w:val="32"/>
          <w:szCs w:val="32"/>
          <w:highlight w:val="none"/>
        </w:rPr>
        <w:t>成本指标为采购执法记录仪、服装成本，预期指标值是</w:t>
      </w:r>
      <w:r>
        <w:rPr>
          <w:rFonts w:hint="eastAsia" w:ascii="仿宋_GB2312"/>
          <w:color w:val="auto"/>
          <w:sz w:val="32"/>
          <w:szCs w:val="32"/>
          <w:highlight w:val="none"/>
          <w:lang w:eastAsia="zh-CN"/>
        </w:rPr>
        <w:t>小于等于</w:t>
      </w:r>
      <w:r>
        <w:rPr>
          <w:rFonts w:hint="eastAsia" w:ascii="仿宋_GB2312"/>
          <w:color w:val="auto"/>
          <w:sz w:val="32"/>
          <w:szCs w:val="32"/>
          <w:highlight w:val="none"/>
        </w:rPr>
        <w:t>0.50万元/套，实际完成值是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0万元/套，指标</w:t>
      </w:r>
      <w:r>
        <w:rPr>
          <w:rFonts w:hint="eastAsia" w:ascii="仿宋_GB2312"/>
          <w:color w:val="auto"/>
          <w:sz w:val="32"/>
          <w:szCs w:val="32"/>
          <w:highlight w:val="none"/>
          <w:lang w:val="en-US" w:eastAsia="zh-CN"/>
        </w:rPr>
        <w:t>未</w:t>
      </w:r>
      <w:r>
        <w:rPr>
          <w:rFonts w:hint="eastAsia" w:ascii="仿宋_GB2312"/>
          <w:color w:val="auto"/>
          <w:sz w:val="32"/>
          <w:szCs w:val="32"/>
          <w:highlight w:val="none"/>
        </w:rPr>
        <w:t>达到预期目标。原因：项目部分支出资料及手续不完整，导致指标未能完成；措施：下一年度做好项目管理工作，及时收集、完善支出资料，减少偏差。</w:t>
      </w:r>
    </w:p>
    <w:p>
      <w:pPr>
        <w:spacing w:line="560" w:lineRule="exact"/>
        <w:ind w:firstLine="643" w:firstLineChars="200"/>
        <w:rPr>
          <w:rFonts w:ascii="楷体" w:hAnsi="楷体" w:eastAsia="楷体" w:cs="宋体"/>
          <w:b/>
          <w:color w:val="auto"/>
          <w:sz w:val="32"/>
          <w:szCs w:val="32"/>
          <w:highlight w:val="none"/>
        </w:rPr>
      </w:pPr>
      <w:r>
        <w:rPr>
          <w:rFonts w:hint="eastAsia" w:ascii="楷体" w:hAnsi="楷体" w:eastAsia="楷体" w:cs="宋体"/>
          <w:b/>
          <w:color w:val="auto"/>
          <w:sz w:val="32"/>
          <w:szCs w:val="32"/>
          <w:highlight w:val="none"/>
        </w:rPr>
        <w:t>（四）项目效益情况</w:t>
      </w:r>
    </w:p>
    <w:p>
      <w:pPr>
        <w:spacing w:line="560" w:lineRule="exact"/>
        <w:ind w:firstLine="643" w:firstLineChars="200"/>
        <w:rPr>
          <w:rFonts w:hint="eastAsia" w:ascii="仿宋_GB2312" w:hAnsi="仿宋" w:cs="宋体"/>
          <w:b/>
          <w:bCs/>
          <w:color w:val="auto"/>
          <w:sz w:val="32"/>
          <w:szCs w:val="32"/>
          <w:highlight w:val="none"/>
        </w:rPr>
      </w:pPr>
      <w:r>
        <w:rPr>
          <w:rFonts w:ascii="仿宋_GB2312" w:hAnsi="仿宋" w:cs="宋体"/>
          <w:b/>
          <w:bCs/>
          <w:color w:val="auto"/>
          <w:sz w:val="32"/>
          <w:szCs w:val="32"/>
          <w:highlight w:val="none"/>
        </w:rPr>
        <w:t xml:space="preserve"> </w:t>
      </w:r>
      <w:r>
        <w:rPr>
          <w:rFonts w:hint="eastAsia" w:ascii="仿宋_GB2312" w:hAnsi="仿宋" w:cs="宋体"/>
          <w:b/>
          <w:bCs/>
          <w:color w:val="auto"/>
          <w:sz w:val="32"/>
          <w:szCs w:val="32"/>
          <w:highlight w:val="none"/>
        </w:rPr>
        <w:t>1．经济效益指标</w:t>
      </w:r>
    </w:p>
    <w:p>
      <w:pPr>
        <w:spacing w:line="560" w:lineRule="exact"/>
        <w:ind w:firstLine="640" w:firstLineChars="200"/>
        <w:rPr>
          <w:rFonts w:hint="eastAsia" w:ascii="仿宋_GB2312" w:hAnsi="仿宋" w:cs="宋体"/>
          <w:bCs/>
          <w:color w:val="auto"/>
          <w:sz w:val="32"/>
          <w:szCs w:val="32"/>
          <w:highlight w:val="none"/>
          <w:lang w:val="en-US" w:eastAsia="zh-CN"/>
        </w:rPr>
      </w:pPr>
      <w:r>
        <w:rPr>
          <w:rFonts w:hint="eastAsia" w:ascii="仿宋_GB2312" w:hAnsi="仿宋" w:cs="宋体"/>
          <w:bCs/>
          <w:color w:val="auto"/>
          <w:sz w:val="32"/>
          <w:szCs w:val="32"/>
          <w:highlight w:val="none"/>
          <w:lang w:val="en-US" w:eastAsia="zh-CN"/>
        </w:rPr>
        <w:t>无。</w:t>
      </w:r>
    </w:p>
    <w:p>
      <w:pPr>
        <w:spacing w:line="560" w:lineRule="exact"/>
        <w:ind w:firstLine="643" w:firstLineChars="200"/>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spacing w:line="560" w:lineRule="exact"/>
        <w:ind w:firstLine="640" w:firstLineChars="200"/>
        <w:rPr>
          <w:rFonts w:hint="eastAsia" w:ascii="仿宋_GB2312" w:eastAsia="仿宋_GB2312"/>
          <w:color w:val="auto"/>
          <w:sz w:val="32"/>
          <w:szCs w:val="32"/>
          <w:highlight w:val="none"/>
          <w:lang w:val="en-US" w:eastAsia="zh-CN"/>
        </w:rPr>
      </w:pPr>
      <w:r>
        <w:rPr>
          <w:rFonts w:hint="eastAsia" w:ascii="仿宋_GB2312" w:hAnsi="仿宋" w:cs="宋体"/>
          <w:bCs/>
          <w:color w:val="auto"/>
          <w:sz w:val="32"/>
          <w:szCs w:val="32"/>
          <w:highlight w:val="none"/>
        </w:rPr>
        <w:t>项目实施产生的社会效益</w:t>
      </w:r>
      <w:r>
        <w:rPr>
          <w:rFonts w:hint="eastAsia" w:ascii="仿宋_GB2312"/>
          <w:color w:val="auto"/>
          <w:sz w:val="32"/>
          <w:szCs w:val="32"/>
          <w:highlight w:val="none"/>
        </w:rPr>
        <w:t>指标</w:t>
      </w:r>
      <w:r>
        <w:rPr>
          <w:rFonts w:hint="eastAsia" w:ascii="仿宋_GB2312"/>
          <w:color w:val="auto"/>
          <w:sz w:val="32"/>
          <w:szCs w:val="32"/>
          <w:highlight w:val="none"/>
          <w:lang w:val="en-US" w:eastAsia="zh-CN"/>
        </w:rPr>
        <w:t>为保障单位日常工作正常开展，预期指标值是有效保障，实际完成值是有效保障，指标达到预期目标。</w:t>
      </w:r>
    </w:p>
    <w:p>
      <w:pPr>
        <w:spacing w:line="560" w:lineRule="exact"/>
        <w:ind w:firstLine="643" w:firstLineChars="200"/>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spacing w:line="560" w:lineRule="exact"/>
        <w:ind w:firstLine="640" w:firstLineChars="200"/>
        <w:rPr>
          <w:rFonts w:hint="eastAsia" w:ascii="仿宋_GB2312" w:hAnsi="仿宋" w:cs="宋体"/>
          <w:bCs/>
          <w:color w:val="auto"/>
          <w:sz w:val="32"/>
          <w:szCs w:val="32"/>
          <w:highlight w:val="none"/>
          <w:lang w:val="en-US" w:eastAsia="zh-CN"/>
        </w:rPr>
      </w:pPr>
      <w:r>
        <w:rPr>
          <w:rFonts w:hint="eastAsia" w:ascii="仿宋_GB2312" w:hAnsi="仿宋" w:cs="宋体"/>
          <w:bCs/>
          <w:color w:val="auto"/>
          <w:sz w:val="32"/>
          <w:szCs w:val="32"/>
          <w:highlight w:val="none"/>
          <w:lang w:val="en-US" w:eastAsia="zh-CN"/>
        </w:rPr>
        <w:t>无。</w:t>
      </w:r>
    </w:p>
    <w:p>
      <w:pPr>
        <w:keepNext w:val="0"/>
        <w:keepLines w:val="0"/>
        <w:pageBreakBefore w:val="0"/>
        <w:widowControl w:val="0"/>
        <w:kinsoku/>
        <w:wordWrap/>
        <w:overflowPunct/>
        <w:topLinePunct w:val="0"/>
        <w:autoSpaceDE/>
        <w:bidi w:val="0"/>
        <w:adjustRightInd/>
        <w:snapToGrid/>
        <w:spacing w:line="560" w:lineRule="exact"/>
        <w:ind w:firstLine="643" w:firstLineChars="200"/>
        <w:contextualSpacing/>
        <w:textAlignment w:val="auto"/>
        <w:rPr>
          <w:rFonts w:hint="eastAsia" w:ascii="楷体" w:hAnsi="楷体" w:eastAsia="楷体" w:cs="宋体"/>
          <w:b/>
          <w:color w:val="auto"/>
          <w:sz w:val="32"/>
          <w:szCs w:val="32"/>
          <w:highlight w:val="none"/>
        </w:rPr>
      </w:pPr>
      <w:r>
        <w:rPr>
          <w:rFonts w:hint="eastAsia" w:ascii="楷体" w:hAnsi="楷体" w:eastAsia="楷体" w:cs="宋体"/>
          <w:b/>
          <w:color w:val="auto"/>
          <w:sz w:val="32"/>
          <w:szCs w:val="32"/>
          <w:highlight w:val="none"/>
          <w:lang w:eastAsia="zh-CN"/>
        </w:rPr>
        <w:t>（</w:t>
      </w:r>
      <w:r>
        <w:rPr>
          <w:rFonts w:hint="eastAsia" w:ascii="楷体" w:hAnsi="楷体" w:eastAsia="楷体" w:cs="宋体"/>
          <w:b/>
          <w:color w:val="auto"/>
          <w:sz w:val="32"/>
          <w:szCs w:val="32"/>
          <w:highlight w:val="none"/>
          <w:lang w:val="en-US" w:eastAsia="zh-CN"/>
        </w:rPr>
        <w:t>五</w:t>
      </w:r>
      <w:r>
        <w:rPr>
          <w:rFonts w:hint="eastAsia" w:ascii="楷体" w:hAnsi="楷体" w:eastAsia="楷体" w:cs="宋体"/>
          <w:b/>
          <w:color w:val="auto"/>
          <w:sz w:val="32"/>
          <w:szCs w:val="32"/>
          <w:highlight w:val="none"/>
          <w:lang w:eastAsia="zh-CN"/>
        </w:rPr>
        <w:t>）</w:t>
      </w:r>
      <w:r>
        <w:rPr>
          <w:rFonts w:hint="eastAsia" w:ascii="楷体" w:hAnsi="楷体" w:eastAsia="楷体" w:cs="宋体"/>
          <w:b/>
          <w:color w:val="auto"/>
          <w:sz w:val="32"/>
          <w:szCs w:val="32"/>
          <w:highlight w:val="none"/>
        </w:rPr>
        <w:t>满意度指标完成情况分析</w:t>
      </w:r>
    </w:p>
    <w:p>
      <w:pPr>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满意度指标为工作人员满意度，预期指标值是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95%，实际完成值是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95%，指标达到预期目标。</w:t>
      </w:r>
    </w:p>
    <w:p>
      <w:pPr>
        <w:pStyle w:val="5"/>
        <w:spacing w:before="0" w:beforeAutospacing="0" w:after="0" w:afterAutospacing="0" w:line="560" w:lineRule="exact"/>
        <w:ind w:firstLine="640" w:firstLineChars="200"/>
        <w:jc w:val="both"/>
        <w:rPr>
          <w:rFonts w:ascii="黑体" w:hAnsi="黑体" w:eastAsia="黑体" w:cs="仿宋_GB2312"/>
          <w:b w:val="0"/>
          <w:bCs w:val="0"/>
          <w:color w:val="auto"/>
          <w:kern w:val="2"/>
          <w:sz w:val="32"/>
          <w:szCs w:val="32"/>
          <w:highlight w:val="none"/>
        </w:rPr>
      </w:pPr>
      <w:r>
        <w:rPr>
          <w:rFonts w:hint="default" w:ascii="黑体" w:hAnsi="黑体" w:eastAsia="黑体" w:cs="仿宋_GB2312"/>
          <w:b w:val="0"/>
          <w:bCs w:val="0"/>
          <w:color w:val="auto"/>
          <w:kern w:val="2"/>
          <w:sz w:val="32"/>
          <w:szCs w:val="32"/>
          <w:highlight w:val="none"/>
        </w:rPr>
        <w:t>五、主要经验及做法、存在的问题及原因分析</w:t>
      </w:r>
    </w:p>
    <w:p>
      <w:pPr>
        <w:spacing w:line="560" w:lineRule="exact"/>
        <w:ind w:firstLine="643" w:firstLineChars="200"/>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pStyle w:val="31"/>
        <w:keepNext w:val="0"/>
        <w:keepLines w:val="0"/>
        <w:numPr>
          <w:ilvl w:val="0"/>
          <w:numId w:val="0"/>
        </w:numPr>
        <w:spacing w:before="0" w:after="0" w:line="560" w:lineRule="exact"/>
        <w:ind w:firstLine="640" w:firstLineChars="200"/>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采用成本效益分析法、比较法、因素分析法、最低成本法使项目取得了良好的效果。</w:t>
      </w:r>
    </w:p>
    <w:p>
      <w:pPr>
        <w:spacing w:line="560" w:lineRule="exact"/>
        <w:ind w:firstLine="643" w:firstLineChars="200"/>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spacing w:line="560" w:lineRule="exact"/>
        <w:ind w:firstLine="640" w:firstLineChars="200"/>
        <w:rPr>
          <w:rFonts w:hint="eastAsia" w:ascii="楷体" w:hAnsi="楷体" w:eastAsia="楷体"/>
          <w:color w:val="auto"/>
          <w:sz w:val="32"/>
          <w:szCs w:val="32"/>
          <w:highlight w:val="none"/>
        </w:rPr>
      </w:pPr>
      <w:r>
        <w:rPr>
          <w:rFonts w:hint="eastAsia"/>
          <w:color w:val="auto"/>
          <w:sz w:val="32"/>
          <w:highlight w:val="none"/>
        </w:rPr>
        <w:t>本项目全年预算数</w:t>
      </w:r>
      <w:r>
        <w:rPr>
          <w:rFonts w:hint="eastAsia"/>
          <w:color w:val="auto"/>
          <w:sz w:val="32"/>
          <w:highlight w:val="none"/>
          <w:lang w:val="en-US" w:eastAsia="zh-CN"/>
        </w:rPr>
        <w:t>3</w:t>
      </w:r>
      <w:r>
        <w:rPr>
          <w:rFonts w:hint="eastAsia"/>
          <w:color w:val="auto"/>
          <w:sz w:val="32"/>
          <w:highlight w:val="none"/>
        </w:rPr>
        <w:t>万元，执行数</w:t>
      </w:r>
      <w:r>
        <w:rPr>
          <w:rFonts w:hint="eastAsia"/>
          <w:color w:val="auto"/>
          <w:sz w:val="32"/>
          <w:highlight w:val="none"/>
          <w:lang w:val="en-US" w:eastAsia="zh-CN"/>
        </w:rPr>
        <w:t>0</w:t>
      </w:r>
      <w:r>
        <w:rPr>
          <w:rFonts w:hint="eastAsia"/>
          <w:color w:val="auto"/>
          <w:sz w:val="32"/>
          <w:highlight w:val="none"/>
        </w:rPr>
        <w:t>万元，执行率</w:t>
      </w:r>
      <w:r>
        <w:rPr>
          <w:rFonts w:hint="eastAsia"/>
          <w:color w:val="auto"/>
          <w:sz w:val="32"/>
          <w:highlight w:val="none"/>
          <w:lang w:val="en-US" w:eastAsia="zh-CN"/>
        </w:rPr>
        <w:t>0</w:t>
      </w:r>
      <w:r>
        <w:rPr>
          <w:rFonts w:hint="eastAsia"/>
          <w:color w:val="auto"/>
          <w:sz w:val="32"/>
          <w:highlight w:val="none"/>
        </w:rPr>
        <w:t>%，绩效指标完成率</w:t>
      </w:r>
      <w:r>
        <w:rPr>
          <w:rFonts w:hint="eastAsia"/>
          <w:color w:val="auto"/>
          <w:sz w:val="32"/>
          <w:highlight w:val="none"/>
          <w:lang w:val="en-US" w:eastAsia="zh-CN"/>
        </w:rPr>
        <w:t>71.4</w:t>
      </w:r>
      <w:r>
        <w:rPr>
          <w:rFonts w:hint="eastAsia"/>
          <w:color w:val="auto"/>
          <w:sz w:val="32"/>
          <w:highlight w:val="none"/>
        </w:rPr>
        <w:t>%，偏差率</w:t>
      </w:r>
      <w:r>
        <w:rPr>
          <w:rFonts w:hint="eastAsia"/>
          <w:color w:val="auto"/>
          <w:sz w:val="32"/>
          <w:highlight w:val="none"/>
          <w:lang w:val="en-US" w:eastAsia="zh-CN"/>
        </w:rPr>
        <w:t>71.4</w:t>
      </w:r>
      <w:r>
        <w:rPr>
          <w:rFonts w:hint="eastAsia"/>
          <w:color w:val="auto"/>
          <w:sz w:val="32"/>
          <w:highlight w:val="none"/>
        </w:rPr>
        <w:t>%。偏差原因：项目部分支出资料及手续不完整，导致指标未能完成。</w:t>
      </w:r>
    </w:p>
    <w:p>
      <w:pPr>
        <w:pStyle w:val="31"/>
        <w:keepNext w:val="0"/>
        <w:keepLines w:val="0"/>
        <w:numPr>
          <w:ilvl w:val="0"/>
          <w:numId w:val="0"/>
        </w:numPr>
        <w:spacing w:before="0" w:after="0" w:line="560" w:lineRule="exact"/>
        <w:ind w:firstLine="640" w:firstLineChars="200"/>
        <w:rPr>
          <w:rFonts w:ascii="黑体" w:hAnsi="黑体" w:eastAsia="黑体"/>
          <w:b w:val="0"/>
          <w:bCs w:val="0"/>
          <w:color w:val="auto"/>
          <w:highlight w:val="none"/>
        </w:rPr>
      </w:pPr>
      <w:r>
        <w:rPr>
          <w:rFonts w:hint="eastAsia" w:ascii="黑体" w:hAnsi="黑体" w:eastAsia="黑体"/>
          <w:b w:val="0"/>
          <w:bCs w:val="0"/>
          <w:color w:val="auto"/>
          <w:highlight w:val="none"/>
        </w:rPr>
        <w:t>六、有关建议</w:t>
      </w:r>
    </w:p>
    <w:p>
      <w:pPr>
        <w:pStyle w:val="33"/>
        <w:keepNext w:val="0"/>
        <w:keepLines w:val="0"/>
        <w:spacing w:before="0" w:after="0" w:line="560" w:lineRule="exact"/>
        <w:ind w:firstLine="640"/>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pStyle w:val="33"/>
        <w:keepNext w:val="0"/>
        <w:keepLines w:val="0"/>
        <w:spacing w:before="0" w:after="0" w:line="560" w:lineRule="exact"/>
        <w:ind w:firstLine="640"/>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开展进度的跟踪，确保项目绩效目标的完成。规范程序，严格把关。进一步完善项目申报、审核、公示、审批等程序，做好项目信息公开，公开内容要及时、完整、真实，确保项目公平、公开、公正。</w:t>
      </w:r>
    </w:p>
    <w:p>
      <w:pPr>
        <w:pStyle w:val="33"/>
        <w:keepNext w:val="0"/>
        <w:keepLines w:val="0"/>
        <w:spacing w:before="0" w:after="0" w:line="560" w:lineRule="exact"/>
        <w:ind w:firstLine="640"/>
        <w:rPr>
          <w:rFonts w:ascii="黑体" w:hAnsi="黑体"/>
          <w:b w:val="0"/>
          <w:color w:val="auto"/>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健全制度，加强督促。针对项目实施中存在的问题，进一步完善相关制度，加强督促检查，确保质量安全和建设进度；同时及时完善资料。</w:t>
      </w:r>
    </w:p>
    <w:p>
      <w:pPr>
        <w:pStyle w:val="31"/>
        <w:keepNext w:val="0"/>
        <w:keepLines w:val="0"/>
        <w:numPr>
          <w:ilvl w:val="0"/>
          <w:numId w:val="0"/>
        </w:numPr>
        <w:spacing w:before="0" w:after="0" w:line="560" w:lineRule="exact"/>
        <w:ind w:firstLine="640" w:firstLineChars="200"/>
        <w:rPr>
          <w:rFonts w:ascii="黑体" w:hAnsi="黑体" w:eastAsia="黑体"/>
          <w:b w:val="0"/>
          <w:bCs w:val="0"/>
          <w:color w:val="auto"/>
          <w:highlight w:val="none"/>
        </w:rPr>
      </w:pPr>
      <w:r>
        <w:rPr>
          <w:rFonts w:hint="eastAsia" w:ascii="黑体" w:hAnsi="黑体" w:eastAsia="黑体"/>
          <w:b w:val="0"/>
          <w:bCs w:val="0"/>
          <w:color w:val="auto"/>
          <w:highlight w:val="none"/>
        </w:rPr>
        <w:t>七、其他需要说明的问题</w:t>
      </w:r>
    </w:p>
    <w:p>
      <w:pPr>
        <w:pStyle w:val="33"/>
        <w:keepNext w:val="0"/>
        <w:keepLines w:val="0"/>
        <w:spacing w:before="0" w:after="0" w:line="560" w:lineRule="exact"/>
        <w:ind w:firstLine="640"/>
        <w:rPr>
          <w:rFonts w:hint="eastAsia" w:ascii="仿宋_GB2312" w:hAnsi="仿宋_GB2312" w:cs="仿宋_GB2312"/>
          <w:color w:val="auto"/>
          <w:sz w:val="32"/>
          <w:szCs w:val="32"/>
          <w:highlight w:val="none"/>
        </w:rPr>
      </w:pPr>
      <w:r>
        <w:rPr>
          <w:rFonts w:hint="eastAsia" w:ascii="仿宋_GB2312" w:hAnsi="仿宋" w:eastAsia="仿宋_GB2312" w:cs="宋体"/>
          <w:b w:val="0"/>
          <w:color w:val="auto"/>
          <w:kern w:val="2"/>
          <w:highlight w:val="none"/>
          <w:lang w:val="en-US" w:eastAsia="zh-CN"/>
        </w:rPr>
        <w:t>无。</w:t>
      </w:r>
      <w:r>
        <w:br w:type="page"/>
      </w: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2"/>
        <w:tblW w:w="985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shd w:val="clear" w:color="auto" w:fill="FFFFFF"/>
            <w:vAlign w:val="center"/>
          </w:tcPr>
          <w:p>
            <w:pPr>
              <w:spacing w:line="400" w:lineRule="exact"/>
              <w:jc w:val="center"/>
              <w:rPr>
                <w:rFonts w:hint="eastAsia"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000000" w:fill="FFFFFF"/>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3.5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auto" w:fill="FFFFFF"/>
            <w:vAlign w:val="center"/>
          </w:tcPr>
          <w:p>
            <w:pPr>
              <w:spacing w:line="400" w:lineRule="exact"/>
              <w:jc w:val="center"/>
              <w:rPr>
                <w:rFonts w:hint="eastAsia" w:ascii="仿宋_GB2312" w:hAnsi="仿宋_GB2312" w:eastAsia="仿宋_GB2312" w:cs="仿宋_GB2312"/>
                <w:color w:val="auto"/>
                <w:sz w:val="24"/>
                <w:highlight w:val="none"/>
                <w:lang w:eastAsia="zh-CN"/>
              </w:rPr>
            </w:pPr>
            <w:r>
              <w:rPr>
                <w:rFonts w:hint="eastAsia" w:ascii="仿宋_GB2312" w:hAnsi="仿宋_GB2312" w:cs="仿宋_GB2312"/>
                <w:color w:val="auto"/>
                <w:sz w:val="24"/>
                <w:highlight w:val="none"/>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实施效益</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shd w:val="clear" w:color="auto" w:fill="FFFFFF"/>
            <w:vAlign w:val="center"/>
          </w:tcPr>
          <w:p>
            <w:pPr>
              <w:widowControl/>
              <w:spacing w:line="400" w:lineRule="exact"/>
              <w:jc w:val="center"/>
              <w:rPr>
                <w:rFonts w:hint="default" w:ascii="仿宋_GB2312" w:hAnsi="仿宋_GB2312" w:eastAsia="仿宋_GB2312" w:cs="仿宋_GB2312"/>
                <w:color w:val="auto"/>
                <w:kern w:val="0"/>
                <w:sz w:val="24"/>
                <w:highlight w:val="none"/>
                <w:lang w:val="en-US" w:eastAsia="zh-CN"/>
              </w:rPr>
            </w:pPr>
            <w:r>
              <w:rPr>
                <w:rFonts w:hint="eastAsia" w:ascii="仿宋_GB2312" w:hAnsi="仿宋_GB2312" w:cs="仿宋_GB2312"/>
                <w:color w:val="auto"/>
                <w:kern w:val="0"/>
                <w:sz w:val="24"/>
                <w:highlight w:val="none"/>
                <w:lang w:val="en-US" w:eastAsia="zh-CN"/>
              </w:rPr>
              <w:t>84.5</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25C61"/>
    <w:multiLevelType w:val="multilevel"/>
    <w:tmpl w:val="68D25C61"/>
    <w:lvl w:ilvl="0" w:tentative="0">
      <w:start w:val="1"/>
      <w:numFmt w:val="chineseCountingThousand"/>
      <w:pStyle w:val="31"/>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8D25C6C"/>
    <w:multiLevelType w:val="singleLevel"/>
    <w:tmpl w:val="68D25C6C"/>
    <w:lvl w:ilvl="0" w:tentative="0">
      <w:start w:val="3"/>
      <w:numFmt w:val="decimal"/>
      <w:suff w:val="nothing"/>
      <w:lvlText w:val="%1．"/>
      <w:lvlJc w:val="left"/>
      <w:rPr>
        <w:rFonts w:hint="default"/>
        <w:b/>
        <w:bCs/>
        <w:color w:val="auto"/>
      </w:rPr>
    </w:lvl>
  </w:abstractNum>
  <w:abstractNum w:abstractNumId="2">
    <w:nsid w:val="68D25C77"/>
    <w:multiLevelType w:val="singleLevel"/>
    <w:tmpl w:val="68D25C77"/>
    <w:lvl w:ilvl="0" w:tentative="0">
      <w:start w:val="2"/>
      <w:numFmt w:val="decimal"/>
      <w:suff w:val="nothing"/>
      <w:lvlText w:val="%1．"/>
      <w:lvlJc w:val="left"/>
      <w:rPr>
        <w:rFonts w:hint="default"/>
        <w:b/>
        <w:bC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34435838"/>
    <w:rsid w:val="7C0A3946"/>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0">
    <w:name w:val="Default Paragraph Font"/>
    <w:semiHidden/>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qFormat/>
    <w:uiPriority w:val="0"/>
    <w:rPr>
      <w:sz w:val="18"/>
      <w:szCs w:val="18"/>
    </w:rPr>
  </w:style>
  <w:style w:type="paragraph" w:styleId="8">
    <w:name w:val="footer"/>
    <w:basedOn w:val="1"/>
    <w:link w:val="21"/>
    <w:qFormat/>
    <w:uiPriority w:val="0"/>
    <w:pPr>
      <w:tabs>
        <w:tab w:val="center" w:pos="4153"/>
        <w:tab w:val="right" w:pos="8306"/>
      </w:tabs>
      <w:snapToGrid w:val="0"/>
      <w:jc w:val="left"/>
    </w:pPr>
    <w:rPr>
      <w:sz w:val="18"/>
      <w:szCs w:val="18"/>
    </w:rPr>
  </w:style>
  <w:style w:type="paragraph" w:styleId="9">
    <w:name w:val="header"/>
    <w:basedOn w:val="1"/>
    <w:link w:val="22"/>
    <w:uiPriority w:val="0"/>
    <w:pPr>
      <w:pBdr>
        <w:bottom w:val="single" w:color="auto" w:sz="6" w:space="1"/>
      </w:pBdr>
      <w:tabs>
        <w:tab w:val="center" w:pos="4153"/>
        <w:tab w:val="right" w:pos="8306"/>
      </w:tabs>
      <w:snapToGrid w:val="0"/>
      <w:jc w:val="center"/>
    </w:pPr>
    <w:rPr>
      <w:sz w:val="18"/>
      <w:szCs w:val="18"/>
    </w:rPr>
  </w:style>
  <w:style w:type="character" w:styleId="11">
    <w:name w:val="Strong"/>
    <w:qFormat/>
    <w:uiPriority w:val="0"/>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Comment Text"/>
    <w:basedOn w:val="1"/>
    <w:link w:val="19"/>
    <w:qFormat/>
    <w:uiPriority w:val="0"/>
    <w:pPr>
      <w:jc w:val="left"/>
    </w:pPr>
  </w:style>
  <w:style w:type="paragraph" w:customStyle="1" w:styleId="15">
    <w:name w:val="Comment Subject"/>
    <w:basedOn w:val="14"/>
    <w:next w:val="14"/>
    <w:link w:val="23"/>
    <w:qFormat/>
    <w:uiPriority w:val="0"/>
    <w:rPr>
      <w:b/>
      <w:bCs/>
    </w:rPr>
  </w:style>
  <w:style w:type="character" w:customStyle="1" w:styleId="16">
    <w:name w:val="Comment Reference"/>
    <w:qFormat/>
    <w:uiPriority w:val="0"/>
    <w:rPr>
      <w:sz w:val="21"/>
      <w:szCs w:val="21"/>
    </w:rPr>
  </w:style>
  <w:style w:type="character" w:customStyle="1" w:styleId="17">
    <w:name w:val="标题 1 字符"/>
    <w:link w:val="3"/>
    <w:qFormat/>
    <w:uiPriority w:val="0"/>
    <w:rPr>
      <w:rFonts w:eastAsia="仿宋_GB2312"/>
      <w:b/>
      <w:bCs/>
      <w:kern w:val="44"/>
      <w:sz w:val="44"/>
      <w:szCs w:val="44"/>
    </w:rPr>
  </w:style>
  <w:style w:type="character" w:customStyle="1" w:styleId="18">
    <w:name w:val="标题 2 字符"/>
    <w:link w:val="4"/>
    <w:semiHidden/>
    <w:uiPriority w:val="0"/>
    <w:rPr>
      <w:rFonts w:ascii="Cambria" w:hAnsi="Cambria" w:eastAsia="宋体" w:cs="Times New Roman"/>
      <w:b/>
      <w:bCs/>
      <w:kern w:val="2"/>
      <w:sz w:val="32"/>
      <w:szCs w:val="32"/>
    </w:rPr>
  </w:style>
  <w:style w:type="character" w:customStyle="1" w:styleId="19">
    <w:name w:val="批注文字 字符"/>
    <w:link w:val="14"/>
    <w:qFormat/>
    <w:uiPriority w:val="0"/>
    <w:rPr>
      <w:rFonts w:eastAsia="仿宋_GB2312"/>
      <w:kern w:val="2"/>
      <w:sz w:val="30"/>
      <w:szCs w:val="24"/>
    </w:rPr>
  </w:style>
  <w:style w:type="character" w:customStyle="1" w:styleId="20">
    <w:name w:val="批注框文本 字符"/>
    <w:link w:val="7"/>
    <w:qFormat/>
    <w:uiPriority w:val="0"/>
    <w:rPr>
      <w:rFonts w:eastAsia="仿宋_GB2312"/>
      <w:kern w:val="2"/>
      <w:sz w:val="18"/>
      <w:szCs w:val="18"/>
    </w:rPr>
  </w:style>
  <w:style w:type="character" w:customStyle="1" w:styleId="21">
    <w:name w:val="页脚 字符"/>
    <w:link w:val="8"/>
    <w:qFormat/>
    <w:uiPriority w:val="0"/>
    <w:rPr>
      <w:rFonts w:eastAsia="仿宋_GB2312"/>
      <w:kern w:val="2"/>
      <w:sz w:val="18"/>
      <w:szCs w:val="18"/>
    </w:rPr>
  </w:style>
  <w:style w:type="character" w:customStyle="1" w:styleId="22">
    <w:name w:val="页眉 字符"/>
    <w:link w:val="9"/>
    <w:uiPriority w:val="0"/>
    <w:rPr>
      <w:rFonts w:eastAsia="仿宋_GB2312"/>
      <w:kern w:val="2"/>
      <w:sz w:val="18"/>
      <w:szCs w:val="18"/>
    </w:rPr>
  </w:style>
  <w:style w:type="character" w:customStyle="1" w:styleId="23">
    <w:name w:val="批注主题 字符"/>
    <w:link w:val="15"/>
    <w:qFormat/>
    <w:uiPriority w:val="0"/>
    <w:rPr>
      <w:rFonts w:eastAsia="仿宋_GB2312"/>
      <w:b/>
      <w:bCs/>
      <w:kern w:val="2"/>
      <w:sz w:val="30"/>
      <w:szCs w:val="24"/>
    </w:rPr>
  </w:style>
  <w:style w:type="character" w:customStyle="1" w:styleId="24">
    <w:name w:val="Body text|1_"/>
    <w:link w:val="25"/>
    <w:uiPriority w:val="0"/>
    <w:rPr>
      <w:rFonts w:ascii="宋体" w:hAnsi="宋体" w:cs="宋体"/>
      <w:kern w:val="2"/>
      <w:sz w:val="30"/>
      <w:szCs w:val="30"/>
      <w:lang w:val="zh-TW" w:eastAsia="zh-TW" w:bidi="zh-TW"/>
    </w:rPr>
  </w:style>
  <w:style w:type="paragraph" w:customStyle="1" w:styleId="25">
    <w:name w:val="Body text|1"/>
    <w:basedOn w:val="1"/>
    <w:link w:val="24"/>
    <w:qFormat/>
    <w:uiPriority w:val="0"/>
    <w:pPr>
      <w:spacing w:line="420" w:lineRule="auto"/>
      <w:ind w:firstLine="400"/>
    </w:pPr>
    <w:rPr>
      <w:rFonts w:ascii="宋体" w:hAnsi="宋体" w:eastAsia="宋体" w:cs="宋体"/>
      <w:szCs w:val="30"/>
      <w:lang w:val="zh-TW" w:eastAsia="zh-TW" w:bidi="zh-TW"/>
    </w:rPr>
  </w:style>
  <w:style w:type="character" w:customStyle="1" w:styleId="26">
    <w:name w:val="闻政正文 Char"/>
    <w:link w:val="27"/>
    <w:qFormat/>
    <w:uiPriority w:val="0"/>
    <w:rPr>
      <w:rFonts w:eastAsia="仿宋_GB2312"/>
      <w:sz w:val="28"/>
      <w:szCs w:val="28"/>
    </w:rPr>
  </w:style>
  <w:style w:type="paragraph" w:customStyle="1" w:styleId="27">
    <w:name w:val="闻政正文"/>
    <w:basedOn w:val="1"/>
    <w:link w:val="26"/>
    <w:qFormat/>
    <w:uiPriority w:val="0"/>
    <w:pPr>
      <w:spacing w:line="500" w:lineRule="exact"/>
      <w:ind w:firstLine="560" w:firstLineChars="200"/>
    </w:pPr>
    <w:rPr>
      <w:kern w:val="0"/>
      <w:sz w:val="28"/>
      <w:szCs w:val="28"/>
    </w:rPr>
  </w:style>
  <w:style w:type="character" w:customStyle="1" w:styleId="28">
    <w:name w:val="闻政-正文三级标题 Char"/>
    <w:link w:val="29"/>
    <w:uiPriority w:val="3"/>
    <w:rPr>
      <w:rFonts w:eastAsia="仿宋_GB2312"/>
      <w:b/>
      <w:snapToGrid w:val="0"/>
      <w:sz w:val="28"/>
      <w:szCs w:val="28"/>
    </w:rPr>
  </w:style>
  <w:style w:type="paragraph" w:customStyle="1" w:styleId="29">
    <w:name w:val="闻政-正文三级标题"/>
    <w:basedOn w:val="1"/>
    <w:next w:val="1"/>
    <w:link w:val="28"/>
    <w:qFormat/>
    <w:uiPriority w:val="3"/>
    <w:pPr>
      <w:widowControl/>
      <w:spacing w:before="120" w:after="60" w:line="500" w:lineRule="exact"/>
      <w:ind w:left="200" w:leftChars="200"/>
    </w:pPr>
    <w:rPr>
      <w:b/>
      <w:snapToGrid w:val="0"/>
      <w:kern w:val="0"/>
      <w:sz w:val="28"/>
      <w:szCs w:val="28"/>
    </w:rPr>
  </w:style>
  <w:style w:type="paragraph" w:customStyle="1" w:styleId="30">
    <w:name w:val="List Paragraph"/>
    <w:basedOn w:val="1"/>
    <w:qFormat/>
    <w:uiPriority w:val="34"/>
    <w:pPr>
      <w:ind w:firstLine="420" w:firstLineChars="200"/>
    </w:pPr>
    <w:rPr>
      <w:rFonts w:ascii="Calibri" w:hAnsi="Calibri" w:eastAsia="宋体" w:cs="Times New Roman"/>
      <w:sz w:val="21"/>
      <w:szCs w:val="21"/>
    </w:rPr>
  </w:style>
  <w:style w:type="paragraph" w:customStyle="1" w:styleId="31">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32">
    <w:name w:val="Other|1"/>
    <w:basedOn w:val="1"/>
    <w:qFormat/>
    <w:uiPriority w:val="0"/>
    <w:pPr>
      <w:spacing w:line="420" w:lineRule="auto"/>
      <w:ind w:firstLine="400"/>
    </w:pPr>
    <w:rPr>
      <w:rFonts w:ascii="宋体" w:hAnsi="宋体" w:eastAsia="宋体" w:cs="宋体"/>
      <w:szCs w:val="30"/>
      <w:lang w:val="zh-TW" w:eastAsia="zh-TW" w:bidi="zh-TW"/>
    </w:rPr>
  </w:style>
  <w:style w:type="paragraph" w:customStyle="1" w:styleId="33">
    <w:name w:val="标题1"/>
    <w:basedOn w:val="3"/>
    <w:next w:val="1"/>
    <w:qFormat/>
    <w:uiPriority w:val="0"/>
    <w:pPr>
      <w:spacing w:before="120" w:after="120" w:line="500" w:lineRule="exact"/>
      <w:ind w:firstLine="200" w:firstLineChars="200"/>
    </w:pPr>
    <w:rPr>
      <w:rFonts w:eastAsia="黑体"/>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50BD29388DD74105816718A4BC11BC6B_13</vt:lpwstr>
  </property>
  <property fmtid="{D5CDD505-2E9C-101B-9397-08002B2CF9AE}" pid="4" name="KSOTemplateDocerSaveRecord">
    <vt:lpwstr>eyJoZGlkIjoiYzZkNzQ4ZWFiZmQ4NTRhOWRkZTk3YTMwMjlmMmZhYmUiLCJ1c2VySWQiOiI1NzgxMjU4NDIifQ==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505a71-797f-4256-8654-a6175a958fc2}">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21</Pages>
  <Words>1419</Words>
  <Characters>8090</Characters>
  <Lines>67</Lines>
  <Paragraphs>18</Paragraphs>
  <TotalTime>16</TotalTime>
  <ScaleCrop>false</ScaleCrop>
  <LinksUpToDate>false</LinksUpToDate>
  <CharactersWithSpaces>9491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2025-09-23T08:45:37Z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50BD29388DD74105816718A4BC11BC6B_13</vt:lpwstr>
  </property>
  <property fmtid="{D5CDD505-2E9C-101B-9397-08002B2CF9AE}" pid="4" name="KSOTemplateDocerSaveRecord">
    <vt:lpwstr>eyJoZGlkIjoiYzZkNzQ4ZWFiZmQ4NTRhOWRkZTk3YTMwMjlmMmZhYmUiLCJ1c2VySWQiOiI1NzgxMjU4NDIifQ_x003D__x003D_</vt:lpwstr>
  </property>
</Properties>
</file>